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DE" w:rsidRDefault="00C314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14DE" w:rsidRDefault="00C314DE">
      <w:pPr>
        <w:pStyle w:val="ConsPlusNormal"/>
        <w:ind w:firstLine="540"/>
        <w:jc w:val="both"/>
        <w:outlineLvl w:val="0"/>
      </w:pPr>
    </w:p>
    <w:p w:rsidR="00C314DE" w:rsidRDefault="00C314D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ПОСТАНОВЛЕНИЕ</w:t>
      </w:r>
    </w:p>
    <w:p w:rsidR="00C314DE" w:rsidRDefault="00C314DE">
      <w:pPr>
        <w:pStyle w:val="ConsPlusTitle"/>
        <w:jc w:val="center"/>
      </w:pPr>
      <w:r>
        <w:t>от 11 мая 2017 г. N 176-п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 xml:space="preserve">ОБ УТВЕРЖДЕНИИ ПОРЯДКА СБОРА </w:t>
      </w:r>
      <w:proofErr w:type="gramStart"/>
      <w:r>
        <w:t>ТВЕРДЫХ</w:t>
      </w:r>
      <w:proofErr w:type="gramEnd"/>
      <w:r>
        <w:t xml:space="preserve"> КОММУНАЛЬНЫХ</w:t>
      </w:r>
    </w:p>
    <w:p w:rsidR="00C314DE" w:rsidRDefault="00C314DE">
      <w:pPr>
        <w:pStyle w:val="ConsPlusTitle"/>
        <w:jc w:val="center"/>
      </w:pPr>
      <w:r>
        <w:t>ОТХОДОВ (В ТОМ ЧИСЛЕ ИХ РАЗДЕЛЬНОГО СБОРА)</w:t>
      </w:r>
    </w:p>
    <w:p w:rsidR="00C314DE" w:rsidRDefault="00C314DE">
      <w:pPr>
        <w:pStyle w:val="ConsPlusTitle"/>
        <w:jc w:val="center"/>
      </w:pPr>
      <w:r>
        <w:t>НА ТЕРРИТОРИИ НОВОСИБИРСКОЙ ОБЛАСТИ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</w:t>
      </w:r>
      <w:proofErr w:type="spellStart"/>
      <w:r>
        <w:t>Семку</w:t>
      </w:r>
      <w:proofErr w:type="spellEnd"/>
      <w:r>
        <w:t xml:space="preserve"> С.Н.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</w:pPr>
      <w:r>
        <w:t>Губернатор Новосибирской области</w:t>
      </w:r>
    </w:p>
    <w:p w:rsidR="00C314DE" w:rsidRDefault="00C314DE">
      <w:pPr>
        <w:pStyle w:val="ConsPlusNormal"/>
        <w:jc w:val="right"/>
      </w:pPr>
      <w:r>
        <w:t>В.Ф.ГОРОДЕЦКИЙ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  <w:outlineLvl w:val="0"/>
      </w:pPr>
      <w:r>
        <w:t>Утвержден</w:t>
      </w:r>
    </w:p>
    <w:p w:rsidR="00C314DE" w:rsidRDefault="00C314DE">
      <w:pPr>
        <w:pStyle w:val="ConsPlusNormal"/>
        <w:jc w:val="right"/>
      </w:pPr>
      <w:r>
        <w:t>постановлением</w:t>
      </w:r>
    </w:p>
    <w:p w:rsidR="00C314DE" w:rsidRDefault="00C314DE">
      <w:pPr>
        <w:pStyle w:val="ConsPlusNormal"/>
        <w:jc w:val="right"/>
      </w:pPr>
      <w:r>
        <w:t>Правительства Новосибирской области</w:t>
      </w:r>
    </w:p>
    <w:p w:rsidR="00C314DE" w:rsidRDefault="00C314DE">
      <w:pPr>
        <w:pStyle w:val="ConsPlusNormal"/>
        <w:jc w:val="right"/>
      </w:pPr>
      <w:r>
        <w:t>от 11.05.2017 N 176-п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Title"/>
        <w:jc w:val="center"/>
      </w:pPr>
      <w:bookmarkStart w:id="0" w:name="P26"/>
      <w:bookmarkEnd w:id="0"/>
      <w:r>
        <w:t>ПОРЯДОК</w:t>
      </w:r>
    </w:p>
    <w:p w:rsidR="00C314DE" w:rsidRDefault="00C314DE">
      <w:pPr>
        <w:pStyle w:val="ConsPlusTitle"/>
        <w:jc w:val="center"/>
      </w:pPr>
      <w:proofErr w:type="gramStart"/>
      <w:r>
        <w:t>СБОРА ТВЕРДЫХ КОММУНАЛЬНЫХ ОТХОДОВ (В ТОМ</w:t>
      </w:r>
      <w:proofErr w:type="gramEnd"/>
    </w:p>
    <w:p w:rsidR="00C314DE" w:rsidRDefault="00C314DE">
      <w:pPr>
        <w:pStyle w:val="ConsPlusTitle"/>
        <w:jc w:val="center"/>
      </w:pPr>
      <w:proofErr w:type="gramStart"/>
      <w:r>
        <w:t>ЧИСЛЕ ИХ РАЗДЕЛЬНОГО СБОРА) НА ТЕРРИТОРИИ</w:t>
      </w:r>
      <w:proofErr w:type="gramEnd"/>
    </w:p>
    <w:p w:rsidR="00C314DE" w:rsidRDefault="00C314DE">
      <w:pPr>
        <w:pStyle w:val="ConsPlusTitle"/>
        <w:jc w:val="center"/>
      </w:pPr>
      <w:r>
        <w:t>НОВОСИБИРСКОЙ ОБЛАСТИ (ДАЛЕЕ - ПОРЯДОК)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I. Общие положения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1. Настоящий Порядок устанавливает требования к организации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(далее - ТКО)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ТКО, за исключением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контейнерная площадка - место накопления ТКО,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крупногабаритные отходы (далее - КГО)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мусоровоз - транспортное средство категории N, используемое для перевозки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 электронного оборудования - отходы в соответствии с федеральным классификационным </w:t>
      </w:r>
      <w:hyperlink r:id="rId7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</w:t>
      </w:r>
      <w:proofErr w:type="spellStart"/>
      <w:r>
        <w:t>Росприроднадзора</w:t>
      </w:r>
      <w:proofErr w:type="spellEnd"/>
      <w:r>
        <w:t xml:space="preserve"> от 18.07.2014 N 445 "Об утверждении федерального классификационного каталога отходов", классифицируемые как оборудование компьютерное, электронное, оптическое, утратившее свои потребительские свойства.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proofErr w:type="gramStart"/>
      <w:r>
        <w:t xml:space="preserve">Другие используемые в настоящем Порядке понятия употребляются в значениях, определенных действующим законодательством, в том числе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II. Общие требования к сбору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Территории населенных пунктов Новосибирской области подлежат регулярной очистке от отходов в соответствии с территориальной </w:t>
      </w:r>
      <w:hyperlink r:id="rId10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и требованиями экологического и санитарно-эпидемиологического</w:t>
      </w:r>
      <w:proofErr w:type="gramEnd"/>
      <w:r>
        <w:t xml:space="preserve">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4. Региональный оператор по обращению с ТКО в Новосибирской области (далее - региональный оператор), операторы по обращению с ТКО и потребители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5. Потребители осуществляют раздельный сбор ТКО в населенных пунктах Новосибирской области, что обеспечивается установкой в местах сбора отходов контейнеров для раздельного сбора, в соответствии с согласованным министерством жилищно-коммунального хозяйства и энергетики Новосибирской области (далее - министерство)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6. На территории Новосибирской области запрещено: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несанкционированное складирование и (или) размещение всех видов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2) осуществлять накопление и сбор ТКО вне установленных мест накопления и сбора ТКО, определенных договором на оказание услуг по обращению с ТКО, в соответствии с территориальной </w:t>
      </w:r>
      <w:hyperlink r:id="rId11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деятельностью участников сбора ТКО (потребителей и операторов по </w:t>
      </w:r>
      <w:r>
        <w:lastRenderedPageBreak/>
        <w:t>обращению с ТКО) осуществляет региональный оператор.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III.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8. Сбор ТКО осуществляется в местах сбора и накопления ТКО, определенных договором на оказание услуг по обращению с ТКО, в соответствии с территориальной </w:t>
      </w:r>
      <w:hyperlink r:id="rId12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9. Прием ТКО осуществляется следующими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приема в мусоропровод и мусороприемную камеру, расположенные в многоквартирных домах (при наличии соответствующей внутридомовой инженерной системы);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приема в контейнеры,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3) приема в пакетах или других предназначенных для их сбора емкостях, без использования дополнительных устройств для предварительного сбора;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4) приема путем их мобильного сбора от населения.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случае необходимости изменения места сбора и накопления ТКО или определения вновь образованного места процедура его согласования проводится с участием регионального оператора,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сбора и накопления ТКО, а региональный оператор в течение трех рабочих дней со дня получения такого заявления рассматривает его и</w:t>
      </w:r>
      <w:proofErr w:type="gramEnd"/>
      <w:r>
        <w:t xml:space="preserve"> готовит заключение о соответствии (несоответствии) выбранного положения места сбора и накопления ТКО требованиям действующего законодательства и техническим возможностям (условиям) регионального оператора или оператора, оказывающего услуги по сбору и транспортированию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11. Информация об изменении или образовании места сбора и накопления ТКО направляется региональным оператором в министерство для включения в территориальную </w:t>
      </w:r>
      <w:hyperlink r:id="rId13" w:history="1">
        <w:r>
          <w:rPr>
            <w:color w:val="0000FF"/>
          </w:rPr>
          <w:t>схему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12. Запрещается сбор в контейнеры для ТКО отходов, не относящихся к ТКО.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1" w:name="P66"/>
      <w:bookmarkEnd w:id="1"/>
      <w:r>
        <w:t>IV. Раздельный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13. Раздельный сбор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14. Организация раздельного сбора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специальных контейнеров для селективного сбора бумаги, стекла, пластика, металла в жилых кварталах;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контейнеров для утильных фракций (бумага, стекло, пластик и пр.) и стандартных контейнеров для ТКО (с пищевой составляющей) на специально отведенных местах;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создание пунктов приема вторичного сырья или организация площадок раздельного сбора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организация передвижных пунктов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15. Раздельный сбор ТКО организуют потребители, операторы по обращению с ТКО, </w:t>
      </w:r>
      <w:r>
        <w:lastRenderedPageBreak/>
        <w:t>осуществляющие деятельность по сбору и транспортированию ТКО, региональный оператор в соответствии с настоящим Порядком и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16. Раздельный сбор ТКО на территории Новосибирской области внедряется поэтапно в соответствии с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В целях реализации плана внедрения системы раздельного сбора ТКО региональный оператор письменно не позднее чем за 15 календарных дней до даты планируемого начала внедрения раздельного сбора ТКО извещает потребителя о необходимости разделения ТКО по видам отходов и </w:t>
      </w:r>
      <w:proofErr w:type="gramStart"/>
      <w:r>
        <w:t>складирования</w:t>
      </w:r>
      <w:proofErr w:type="gramEnd"/>
      <w:r>
        <w:t xml:space="preserve"> сортированных ТКО в отдельных контейнерах для соответствующих видов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План внедрения системы раздельного сбора ТКО на территории Новосибирской области ежегодно разрабатывается региональным оператором (самостоятельно или с привлечением сторонних организаций) и должен включать соответствующие мероприятия, предусмотренные территориальной </w:t>
      </w:r>
      <w:hyperlink r:id="rId14" w:history="1">
        <w:r>
          <w:rPr>
            <w:color w:val="0000FF"/>
          </w:rPr>
          <w:t>схемой</w:t>
        </w:r>
      </w:hyperlink>
      <w:r>
        <w:t xml:space="preserve"> и государственной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</w:t>
      </w:r>
      <w:proofErr w:type="gramEnd"/>
      <w:r>
        <w:t xml:space="preserve"> программы Новосибирской области "Развитие системы обращения с отходами производства и потребления в Новосибирской области в 2015 - 2020 годах" (далее - региональная программа), иные мероприятия, планируемые сроки их исполнения, а также требования к маркировке контейнеров для раздельного сбора ТКО. Обязанность по своевременной и полной реализации мероприятий вышеуказанного плана возлагается на регионального оператора.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18. План внедрения системы раздельного сбора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года, предшествующего планируемому периоду. Внедрение системы раздельного сбора ТКО на территории Новосибирской области может осуществляться с участием операторов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19. При раздельном сборе ТКО выделяются:</w:t>
      </w:r>
    </w:p>
    <w:p w:rsidR="00C314DE" w:rsidRDefault="00C314DE">
      <w:pPr>
        <w:pStyle w:val="ConsPlusNormal"/>
        <w:spacing w:before="220"/>
        <w:ind w:firstLine="540"/>
        <w:jc w:val="both"/>
      </w:pPr>
      <w:proofErr w:type="gramStart"/>
      <w:r>
        <w:t>виды отходов, захоронение которых запрещается и перечень которых определяется Правительством Российской Федерации;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отходы, которые представлены </w:t>
      </w:r>
      <w:proofErr w:type="spellStart"/>
      <w:r>
        <w:t>биоразлагаемыми</w:t>
      </w:r>
      <w:proofErr w:type="spellEnd"/>
      <w:r>
        <w:t xml:space="preserve"> материалами: от упаковки, готовых товаров (продукции), после утраты потребительских свойств,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Кроме того, могут дополнительно выделяться отдельные виды подлежащих утилизации отходов, образующиеся в быту после утраты потребительских свойств готовых товаров (включая упаковку),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20. Контейнеры для раздельного сбора ТКО должны иметь текстовое и (или) графическое обозначение видов собираемых отходов. При необходимости допускается использование дополнительных характеристик обозначений (отличной формы, дизайна).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21. Контейнеры заполняются ТКО до линии верхней кромки (уровня, позволяющего свободно закрыть крышку контейнера).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22. В случае если контейнер с ТКО, подлежащими утилизации, содержит несортированные ТКО, оператор по обращению с ТКО, осуществляющий деятельность по сбору и транспортированию ТКО, осуществляет транспортирование таких отходов вместе с несортированными ТКО, уведомив регионального оператора не </w:t>
      </w:r>
      <w:proofErr w:type="gramStart"/>
      <w:r>
        <w:t>позднее</w:t>
      </w:r>
      <w:proofErr w:type="gramEnd"/>
      <w:r>
        <w:t xml:space="preserve"> чем на следующий день после дня транспортирования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23. Контейнеры для раздельного сбора ТКО размещаются в местах сбора и накопления ТКО, определенных территориальной </w:t>
      </w:r>
      <w:hyperlink r:id="rId16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24. Вывоз раздельно собранных ТКО осуществляется по договору на оказание услуг по обращению с ТКО, заключенному потребителем с региональным оператором, или по договору с организацией, осуществляющей утилизацию вторичных материальных ресурсов, заключенному на условиях, соответствующих требованиям действующего законодательства.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При погрузке раздельно собранных ТКО обеспечиваются условия, при которых раздельно собранные компоненты ТКО не смешиваются с иными видами отходов.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25. Не допускается смешивание раздельно собранных компонентов ТКО, являющихся вторичными материальными ресурсами, и их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V. Сбор КГО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bookmarkStart w:id="2" w:name="P94"/>
      <w:bookmarkEnd w:id="2"/>
      <w:r>
        <w:t>26. Складирование КГО осуществляются потребителями в местах сбора и накопления ТКО: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в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на специальных площадках для складирования КГО.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27. Вывоз КГО осуществляется по мере их накопления или по заявкам потребителей, направляемым письменно, посредством электронной почты или телефонной связи по контактам регионального оператора, указанным в договоре оказания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28. Время вывоза КГО региональным оператором или оператором по обращению с ТКО не может превышать 5 рабочих дней </w:t>
      </w:r>
      <w:proofErr w:type="gramStart"/>
      <w:r>
        <w:t>с даты поступления</w:t>
      </w:r>
      <w:proofErr w:type="gramEnd"/>
      <w:r>
        <w:t xml:space="preserve"> заявки.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3" w:name="P99"/>
      <w:bookmarkEnd w:id="3"/>
      <w:r>
        <w:t>29. КГО должны находиться в виде, не создающем угроз для жизни и здоровья людей,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VI. Сбор отходов электронного оборудования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30. Сбор отходов электронного оборудования осуществляется: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1) по заявкам потребителей;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2) предприятиями розничной торговли, осуществляющими продажу электронного оборудования;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3) с использованием специальных площадок для накопления отходов электронного оборудования.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31. Создание и содержание специальных площадок для складирования отходов электронного оборудования осуществляется в порядке, определенном </w:t>
      </w:r>
      <w:hyperlink w:anchor="P167" w:history="1">
        <w:r>
          <w:rPr>
            <w:color w:val="0000FF"/>
          </w:rPr>
          <w:t>разделом XIII</w:t>
        </w:r>
      </w:hyperlink>
      <w:r>
        <w:t xml:space="preserve"> настоящего Порядка, в соответствии с территориальной </w:t>
      </w:r>
      <w:hyperlink r:id="rId17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32. Транспортирование отходов электронного оборудования с мест, определенных </w:t>
      </w:r>
      <w:hyperlink w:anchor="P10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05" w:history="1">
        <w:r>
          <w:rPr>
            <w:color w:val="0000FF"/>
          </w:rPr>
          <w:t>2 пункта 30</w:t>
        </w:r>
      </w:hyperlink>
      <w:r>
        <w:t xml:space="preserve"> настоящего Порядка, с последующей их обработкой и (или) утилизацией организуется региональным оператором в соответствии с территориальной </w:t>
      </w:r>
      <w:hyperlink r:id="rId18" w:history="1">
        <w:r>
          <w:rPr>
            <w:color w:val="0000FF"/>
          </w:rPr>
          <w:t>схемой</w:t>
        </w:r>
      </w:hyperlink>
      <w:r>
        <w:t xml:space="preserve"> и региональной </w:t>
      </w:r>
      <w:hyperlink r:id="rId19" w:history="1">
        <w:r>
          <w:rPr>
            <w:color w:val="0000FF"/>
          </w:rPr>
          <w:t>программой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33. Транспортирование отходов электронного оборудования лицами, указанными в </w:t>
      </w:r>
      <w:hyperlink w:anchor="P106" w:history="1">
        <w:r>
          <w:rPr>
            <w:color w:val="0000FF"/>
          </w:rPr>
          <w:t>подпункте 3 пункта 30</w:t>
        </w:r>
      </w:hyperlink>
      <w:r>
        <w:t xml:space="preserve"> настоящего Порядка,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34. Запрещается складировать отходы электронного оборудования в контейнерах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35. Собранные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VII. Сбор ртутьсодержащих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36. Сбор и накопление ртутьсодержащих отходов должны выполняться методами, исключающими их бой и разгерметизацию.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37. Потребители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должно осуществляться в соответствии с требованиями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</w:t>
      </w:r>
      <w:proofErr w:type="gramEnd"/>
      <w:r>
        <w:t xml:space="preserve"> </w:t>
      </w:r>
      <w:proofErr w:type="gramStart"/>
      <w:r>
        <w:t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39. Потребители по мере накопления сдают ртутьсодержащие отходы на утилизацию или обезвреживание юридическим лицам или индивидуальным предпринимателям, имеющим лицензии на осуществление соответствующей деятельности, или осуществляют обращение с ними в соответствии с требованиями, предусмотренными </w:t>
      </w:r>
      <w:hyperlink w:anchor="P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VIII. Сбор уличного мусора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40. Сбор и транспортирование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41. Накопление уличного мусора и смета на придомовой территории осуществляется с использованием контейнеров, предназначенных для сбора ТКО, полиэтиленовых мешков.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 от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42. Места расположения контейнеров для сбора уличного мусора, уличных урн определяются в соответствии с правилами благоустройства территории соответствующих муниципальных образований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43. Удаление отходов от зимней уборки улиц (снеговые массы) осуществляется путем: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использования станций снеготаяния;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размещения данных видов отходов на специальных площадках, расположение которых определяется органами местного самоуправления муниципальных образований Новосибирской области.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IX. Сбор отходов от использования товаров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44. </w:t>
      </w:r>
      <w:proofErr w:type="gramStart"/>
      <w:r>
        <w:t>Производители, импортеры товаров обеспечивают сбор отходов от использования этих товаров самостоятельно путем организации собственных объектов инфраструктуры по сбору, обработке, утилизации отходов от использования таких товаров или путем заключения договоров с оператором по обращению с ТКО, региональным оператором,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ТКО).</w:t>
      </w:r>
      <w:proofErr w:type="gramEnd"/>
      <w:r>
        <w:t xml:space="preserve"> Самостоятельное обеспечение выполнения нормативов утилизации может осуществляться путем создания ассоциации (союза) производителей, импортеров товаров (далее - ассоциация).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сбора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46. Отходы от использования потребительских товаров и упаковки, утративших свои потребительские свойства, подлежат утилизации.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 xml:space="preserve">X. Сбор ТКО в </w:t>
      </w:r>
      <w:proofErr w:type="gramStart"/>
      <w:r>
        <w:t>садоводческих</w:t>
      </w:r>
      <w:proofErr w:type="gramEnd"/>
      <w:r>
        <w:t>, огороднических и</w:t>
      </w:r>
    </w:p>
    <w:p w:rsidR="00C314DE" w:rsidRDefault="00C314DE">
      <w:pPr>
        <w:pStyle w:val="ConsPlusNormal"/>
        <w:jc w:val="center"/>
      </w:pPr>
      <w:r>
        <w:t xml:space="preserve">дачных некоммерческих </w:t>
      </w:r>
      <w:proofErr w:type="gramStart"/>
      <w:r>
        <w:t>объединениях</w:t>
      </w:r>
      <w:proofErr w:type="gramEnd"/>
      <w:r>
        <w:t xml:space="preserve"> граждан,</w:t>
      </w:r>
    </w:p>
    <w:p w:rsidR="00C314DE" w:rsidRDefault="00C314DE">
      <w:pPr>
        <w:pStyle w:val="ConsPlusNormal"/>
        <w:jc w:val="center"/>
      </w:pPr>
      <w:r>
        <w:t xml:space="preserve">гаражно-строительных </w:t>
      </w:r>
      <w:proofErr w:type="gramStart"/>
      <w:r>
        <w:t>кооперативах</w:t>
      </w:r>
      <w:proofErr w:type="gramEnd"/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47. Сбор ТКО, образующихся в садоводческих, огороднических и дачных некоммерческих объединениях граждан, гаражно-строительных кооперативах, осуществляется на площадках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48. Сбор КГО осуществляется в соответствии с </w:t>
      </w:r>
      <w:hyperlink w:anchor="P94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99" w:history="1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49. Размещение площадок производится с соблюдением экологических и санитарных норм и правил.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50. Обязанность по строительству, ремонту и содержанию площадок для сбора ТКО, организация сбора и транспортирования ТКО, образующихся в садоводческих, огороднических и дачных некоммерческих объединениях граждан, гаражно-строительных кооперативах, возлагается на органы управления садоводческих, огороднических и дачных некоммерческих объединений граждан, гаражно-строительных кооперативов.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51. 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52. Отработанные горюче-смазочные материалы, автошины, аккумуляторы, иные токсичные отходы,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предпринимателям, имеющим лицензию на осуществление данного вида деятельности, с оформлением </w:t>
      </w:r>
      <w:r>
        <w:lastRenderedPageBreak/>
        <w:t>подтверждающей документации (акты приема-передачи, справки и т.п.).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XI. Мобильный сбор ТКО от населения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53. Сбор ТКО от потребителей непосредственно осуществляется по маршрутному графику и по заявкам потребителей.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54. При сборе ТКО по маршрутному графику региональный оператор определяет места сбора и накопления, а также периодичность вывоза ТКО, которые указываются в договоре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При сборе ТКО по заявкам потребителей данная услуга должна быть обеспечена региональным оператором в сроки, установленные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56. ТКО передаются оператору по сбору и транспортированию в пакетах или других предназначенных для их сбора емкостях.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XII. Контейнеры для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57. Для сбора ТКО используются контейнеры следующего объема накапливаемых в них отходов: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 дм</w:t>
      </w:r>
      <w:r>
        <w:rPr>
          <w:vertAlign w:val="superscript"/>
        </w:rPr>
        <w:t>3</w:t>
      </w:r>
      <w:r>
        <w:t>, 80 дм</w:t>
      </w:r>
      <w:r>
        <w:rPr>
          <w:vertAlign w:val="superscript"/>
        </w:rPr>
        <w:t>3</w:t>
      </w:r>
      <w:r>
        <w:t>, 120 дм</w:t>
      </w:r>
      <w:r>
        <w:rPr>
          <w:vertAlign w:val="superscript"/>
        </w:rPr>
        <w:t>3</w:t>
      </w:r>
      <w:r>
        <w:t>, 240 дм</w:t>
      </w:r>
      <w:r>
        <w:rPr>
          <w:vertAlign w:val="superscript"/>
        </w:rPr>
        <w:t>3</w:t>
      </w:r>
      <w:r>
        <w:t>, 770 дм</w:t>
      </w:r>
      <w:r>
        <w:rPr>
          <w:vertAlign w:val="superscript"/>
        </w:rPr>
        <w:t>3</w:t>
      </w:r>
      <w:r>
        <w:t>, 1100 дм</w:t>
      </w:r>
      <w:r>
        <w:rPr>
          <w:vertAlign w:val="superscript"/>
        </w:rPr>
        <w:t>3</w:t>
      </w:r>
      <w:r>
        <w:t>, 8000 дм</w:t>
      </w:r>
      <w:r>
        <w:rPr>
          <w:vertAlign w:val="superscript"/>
        </w:rPr>
        <w:t>3</w:t>
      </w:r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58. По согласованию с региональным оператором допускается использование контейнеров, имеющих объем, отличный от вышеуказанного, с учетом их места расположения и действующих в муниципальном образовании норм благоустройства.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59. Необходимое количество контейнеров на контейнерной площадке и их вместимость определяются исходя из численности жителей, проживающих в многоквартирных и жилых домах, и установленных нормативов накопления ТКО с учетом соблюдения санитарно-эпидемиологических требований.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60. Уменьшение количества и (или) объема контейнеров, используемых для сбора и (или) накопления несортированных отходов, допускается в пределах объема раздельно собираемых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61. Количество и объем контейнеров, необходимых для накопления ТКО,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62.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Контейнеры должны быть промаркированы с указанием их собственника.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63. Контейнер может заполняться отходами только до объема, не превышающего верхней кромки контейнера. Прессование и уплотнение ТКО в контейнере не допускается.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 xml:space="preserve"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</w:t>
      </w:r>
      <w:r>
        <w:lastRenderedPageBreak/>
        <w:t>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65. 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66. </w:t>
      </w:r>
      <w:proofErr w:type="gramStart"/>
      <w:r>
        <w:t xml:space="preserve">Периодичность и порядок вывоза ТКО определяется договором на оказание услуг по обращению с ТКО, заключаемым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а в случае отсутствия договора на оказание услуг по обращению с ТКО -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требованиями действующего законодательства.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7" w:name="P167"/>
      <w:bookmarkEnd w:id="7"/>
      <w:r>
        <w:t>XIII. Контейнерные площадки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67.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участка, на котором расположены такие контейнерные площадки.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68. Региональный оператор несет ответственность за обращение с ТКО с момента погрузки таких отходов в мусоровоз в местах сбора и накопления ТКО. При этом бремя содержания контейнерных площадок, специальных площадок для складирования КГО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69. </w:t>
      </w:r>
      <w:proofErr w:type="gramStart"/>
      <w:r>
        <w:t xml:space="preserve">Контейнерная площадка должна быть оборудована в соответствии с требованиями действующего законодательства, в том числе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Госстроя Российской Федерации от 27.09.2003 N 170, </w:t>
      </w:r>
      <w:hyperlink r:id="rId2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42-128-4690-88</w:t>
        </w:r>
      </w:hyperlink>
      <w:r>
        <w:t>, санитарными правилами содержания территорий населенных мест, утвержденными Главным государственным санитарным врачом СССР 05.08.1988 N 4690-88, и правилами благоустройства территории соответствующего населенного пункта.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70. На контейнерной площадке должна быть размещена информация с указанием контактов организации, осуществляющей сбор и транспортирование ТКО, и графика вывоза ТКО. Дополнительно на контейнерной площадке, обслуживающей один или несколько жилых домов, должна быть размещена информация об адресах обслуживаемых домов, а на контейнерной площадке, обслуживающей юридических лиц и (или) индивидуальных предпринимателей, также указывается сокращенное наименование юридического лица, фамилия индивидуального предпринимателя.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71. Контейнерная площадка должна регулярно подвергаться санитарной уборке в соответствии с требованиями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72. Подъездные пути к контейнерной площадке должны быть освещены и быть пригодными для свободного проезда и маневрирования транспортных средств, в том числе исключающего </w:t>
      </w:r>
      <w:r>
        <w:lastRenderedPageBreak/>
        <w:t>движение задним ходом в жилых зонах и на придомовых территориях.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73. </w:t>
      </w:r>
      <w:proofErr w:type="gramStart"/>
      <w:r>
        <w:t>Доступ регионального оператора или оператора по обращению с ТКО, осуществляющего деятельность по сбору и транспортированию ТКО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многоквартирным жилым домом.</w:t>
      </w:r>
      <w:proofErr w:type="gramEnd"/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XIV. Несанкционированное размещение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74. 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75. Размещение и накопление отходов вне санкционированных мест сбора и накопления отходов соответствующего вида запрещено.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76. Собственник земельного участка, на котором размещены отходы с нарушением экологических требований, санитарных норм и правил, а также требований настоящего Порядка, несет ответственность в соответствии с законодательством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77. </w:t>
      </w:r>
      <w:proofErr w:type="gramStart"/>
      <w:r>
        <w:t>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об организации деятельности по обращению с ТКО на территории Новосибирской области, заключенном с министерством (далее - место несанкционированного размещения ТКО), региональный оператор обязан в течение 5 рабочих дней: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78. </w:t>
      </w:r>
      <w:proofErr w:type="gramStart"/>
      <w: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</w:t>
      </w:r>
      <w:proofErr w:type="gramEnd"/>
      <w:r>
        <w:t xml:space="preserve"> В этом случае региональный оператор вправе обратиться в суд с требованием о взыскании понесенных расходов.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79.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80. Учет несанкционированных мест размещения отходов на территориях общего пользования ведется региональным оператором.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8" w:name="_GoBack"/>
      <w:bookmarkEnd w:id="8"/>
    </w:p>
    <w:sectPr w:rsidR="00307139" w:rsidSect="00CF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4DE"/>
    <w:rsid w:val="00142CAF"/>
    <w:rsid w:val="001723FB"/>
    <w:rsid w:val="00307139"/>
    <w:rsid w:val="00474B64"/>
    <w:rsid w:val="00475860"/>
    <w:rsid w:val="00525F3A"/>
    <w:rsid w:val="005310B2"/>
    <w:rsid w:val="00547AAF"/>
    <w:rsid w:val="00765F27"/>
    <w:rsid w:val="00904CE8"/>
    <w:rsid w:val="00974CFA"/>
    <w:rsid w:val="009A25F5"/>
    <w:rsid w:val="00C314DE"/>
    <w:rsid w:val="00C476E7"/>
    <w:rsid w:val="00C72419"/>
    <w:rsid w:val="00E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01FDC6A359CB8A13BB98406B9952FFD224D61DC7968BEA8EE6F8B10eAc8D" TargetMode="External"/><Relationship Id="rId13" Type="http://schemas.openxmlformats.org/officeDocument/2006/relationships/hyperlink" Target="consultantplus://offline/ref=4F501FDC6A359CB8A13BA78910D5CB26F621176FD67764E8F5B134D647A106352FA523EA7E7958D1098154e0cDD" TargetMode="External"/><Relationship Id="rId18" Type="http://schemas.openxmlformats.org/officeDocument/2006/relationships/hyperlink" Target="consultantplus://offline/ref=4F501FDC6A359CB8A13BA78910D5CB26F621176FD67764E8F5B134D647A106352FA523EA7E7958D1098154e0cD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501FDC6A359CB8A13BB98406B9952FFD234D65DE7B68BEA8EE6F8B10A80C6268EA7AA83A7459D2e0c8D" TargetMode="External"/><Relationship Id="rId7" Type="http://schemas.openxmlformats.org/officeDocument/2006/relationships/hyperlink" Target="consultantplus://offline/ref=4F501FDC6A359CB8A13BB98406B9952FFD2A4C60DB7C68BEA8EE6F8B10A80C6268EA7AA83A7459D0e0c8D" TargetMode="External"/><Relationship Id="rId12" Type="http://schemas.openxmlformats.org/officeDocument/2006/relationships/hyperlink" Target="consultantplus://offline/ref=4F501FDC6A359CB8A13BA78910D5CB26F621176FD67764E8F5B134D647A106352FA523EA7E7958D1098154e0cDD" TargetMode="External"/><Relationship Id="rId17" Type="http://schemas.openxmlformats.org/officeDocument/2006/relationships/hyperlink" Target="consultantplus://offline/ref=4F501FDC6A359CB8A13BA78910D5CB26F621176FD67764E8F5B134D647A106352FA523EA7E7958D1098154e0cD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501FDC6A359CB8A13BA78910D5CB26F621176FD67764E8F5B134D647A106352FA523EA7E7958D1098154e0cDD" TargetMode="External"/><Relationship Id="rId20" Type="http://schemas.openxmlformats.org/officeDocument/2006/relationships/hyperlink" Target="consultantplus://offline/ref=4F501FDC6A359CB8A13BB98406B9952FFE2F4B65DB7668BEA8EE6F8B10eAc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01FDC6A359CB8A13BA78910D5CB26F621176FDE7E63EEF0B869DC4FF80A3728AA7CFD793054D009815405e4c6D" TargetMode="External"/><Relationship Id="rId11" Type="http://schemas.openxmlformats.org/officeDocument/2006/relationships/hyperlink" Target="consultantplus://offline/ref=4F501FDC6A359CB8A13BA78910D5CB26F621176FD67764E8F5B134D647A106352FA523EA7E7958D1098154e0cDD" TargetMode="External"/><Relationship Id="rId24" Type="http://schemas.openxmlformats.org/officeDocument/2006/relationships/hyperlink" Target="consultantplus://offline/ref=4F501FDC6A359CB8A13BB98406B9952FFE2A486AD67F68BEA8EE6F8B10eAc8D" TargetMode="External"/><Relationship Id="rId5" Type="http://schemas.openxmlformats.org/officeDocument/2006/relationships/hyperlink" Target="consultantplus://offline/ref=4F501FDC6A359CB8A13BB98406B9952FFD224D61DC7968BEA8EE6F8B10A80C6268EA7AAA38e7c7D" TargetMode="External"/><Relationship Id="rId15" Type="http://schemas.openxmlformats.org/officeDocument/2006/relationships/hyperlink" Target="consultantplus://offline/ref=4F501FDC6A359CB8A13BA78910D5CB26F621176FDE7E63E1F7BC69DC4FF80A3728AA7CFD793054D009815406e4cDD" TargetMode="External"/><Relationship Id="rId23" Type="http://schemas.openxmlformats.org/officeDocument/2006/relationships/hyperlink" Target="consultantplus://offline/ref=4F501FDC6A359CB8A13BB98406B9952FFB2E4E65DD7435B4A0B7638917A753756FA376A93A7458eDc3D" TargetMode="External"/><Relationship Id="rId10" Type="http://schemas.openxmlformats.org/officeDocument/2006/relationships/hyperlink" Target="consultantplus://offline/ref=4F501FDC6A359CB8A13BA78910D5CB26F621176FD67764E8F5B134D647A106352FA523EA7E7958D1098154e0cDD" TargetMode="External"/><Relationship Id="rId19" Type="http://schemas.openxmlformats.org/officeDocument/2006/relationships/hyperlink" Target="consultantplus://offline/ref=4F501FDC6A359CB8A13BA78910D5CB26F621176FDE7E63E1F7BC69DC4FF80A3728AA7CFD793054D009815406e4c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501FDC6A359CB8A13BB98406B9952FFD2A4E63DE7768BEA8EE6F8B10eAc8D" TargetMode="External"/><Relationship Id="rId14" Type="http://schemas.openxmlformats.org/officeDocument/2006/relationships/hyperlink" Target="consultantplus://offline/ref=4F501FDC6A359CB8A13BA78910D5CB26F621176FD67764E8F5B134D647A106352FA523EA7E7958D1098154e0cDD" TargetMode="External"/><Relationship Id="rId22" Type="http://schemas.openxmlformats.org/officeDocument/2006/relationships/hyperlink" Target="consultantplus://offline/ref=4F501FDC6A359CB8A13BB98406B9952FFD2A4E63DE7768BEA8EE6F8B10eA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4630</Words>
  <Characters>26394</Characters>
  <Application>Microsoft Office Word</Application>
  <DocSecurity>0</DocSecurity>
  <Lines>219</Lines>
  <Paragraphs>61</Paragraphs>
  <ScaleCrop>false</ScaleCrop>
  <Company>NSO</Company>
  <LinksUpToDate>false</LinksUpToDate>
  <CharactersWithSpaces>30963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Admin</cp:lastModifiedBy>
  <cp:revision>2</cp:revision>
  <dcterms:created xsi:type="dcterms:W3CDTF">2019-02-21T04:39:00Z</dcterms:created>
  <dcterms:modified xsi:type="dcterms:W3CDTF">2019-02-21T04:39:00Z</dcterms:modified>
</cp:coreProperties>
</file>